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D5628C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CB7AB1">
              <w:rPr>
                <w:rFonts w:ascii="Verdana" w:hAnsi="Verdana" w:cs="Arial Unicode MS"/>
                <w:b/>
                <w:sz w:val="18"/>
                <w:szCs w:val="18"/>
              </w:rPr>
              <w:t>7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Pr="002E3E67">
        <w:rPr>
          <w:rFonts w:ascii="Verdana" w:hAnsi="Verdana" w:cs="Arial"/>
          <w:b/>
          <w:sz w:val="18"/>
          <w:szCs w:val="18"/>
        </w:rPr>
        <w:t>ZPZ.271.1.</w:t>
      </w:r>
      <w:r w:rsidR="009F4A59">
        <w:rPr>
          <w:rFonts w:ascii="Verdana" w:hAnsi="Verdana" w:cs="Arial"/>
          <w:b/>
          <w:sz w:val="18"/>
          <w:szCs w:val="18"/>
        </w:rPr>
        <w:t>7</w:t>
      </w:r>
      <w:bookmarkStart w:id="0" w:name="_GoBack"/>
      <w:bookmarkEnd w:id="0"/>
      <w:r w:rsidRPr="002E3E67">
        <w:rPr>
          <w:rFonts w:ascii="Verdana" w:hAnsi="Verdana" w:cs="Arial"/>
          <w:b/>
          <w:sz w:val="18"/>
          <w:szCs w:val="18"/>
        </w:rPr>
        <w:t>.201</w:t>
      </w:r>
      <w:r w:rsidR="00D57231">
        <w:rPr>
          <w:rFonts w:ascii="Verdana" w:hAnsi="Verdana" w:cs="Arial"/>
          <w:b/>
          <w:sz w:val="18"/>
          <w:szCs w:val="18"/>
        </w:rPr>
        <w:t>9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433107" w:rsidRPr="005C12CD" w:rsidRDefault="00433107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11EB2" w:rsidRPr="00EC663A" w:rsidRDefault="00D57231" w:rsidP="00E11EB2">
            <w:pPr>
              <w:autoSpaceDN w:val="0"/>
              <w:adjustRightInd w:val="0"/>
              <w:ind w:right="6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63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bookmarkStart w:id="1" w:name="_Hlk506470507"/>
            <w:r w:rsidR="00E11EB2" w:rsidRPr="00027916">
              <w:rPr>
                <w:rFonts w:ascii="Verdana" w:hAnsi="Verdana" w:cs="Arial"/>
                <w:b/>
                <w:bCs/>
                <w:sz w:val="18"/>
                <w:szCs w:val="18"/>
              </w:rPr>
              <w:t>„Adaptacja pomieszczeń budynku szkolnego przy ul. Słowackiego 5 na żłobek w Jedlinie-Zdroju”</w:t>
            </w:r>
            <w:bookmarkEnd w:id="1"/>
            <w:r w:rsidR="00E11EB2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  <w:p w:rsidR="00EF0783" w:rsidRPr="00CB7AB1" w:rsidRDefault="00EF0783" w:rsidP="00D57231">
            <w:pPr>
              <w:autoSpaceDN w:val="0"/>
              <w:adjustRightInd w:val="0"/>
              <w:ind w:right="6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201</w:t>
      </w:r>
      <w:r w:rsidR="00D57231">
        <w:rPr>
          <w:rFonts w:ascii="Verdana" w:hAnsi="Verdana" w:cs="Arial Unicode MS"/>
          <w:sz w:val="18"/>
          <w:szCs w:val="18"/>
        </w:rPr>
        <w:t>9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roboty budowlane 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rejestrowy podmiotu udostępniającego.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7231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D57231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957"/>
    <w:rsid w:val="000B7D90"/>
    <w:rsid w:val="0010582B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442DE"/>
    <w:rsid w:val="00383FA0"/>
    <w:rsid w:val="003A39CF"/>
    <w:rsid w:val="003E2DD3"/>
    <w:rsid w:val="003F109F"/>
    <w:rsid w:val="003F2771"/>
    <w:rsid w:val="003F6DB7"/>
    <w:rsid w:val="00433107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15EAD"/>
    <w:rsid w:val="00746E8F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9F4A59"/>
    <w:rsid w:val="00A56114"/>
    <w:rsid w:val="00AB50B1"/>
    <w:rsid w:val="00AD382A"/>
    <w:rsid w:val="00AF2C66"/>
    <w:rsid w:val="00AF3A7F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57231"/>
    <w:rsid w:val="00D9547D"/>
    <w:rsid w:val="00E11397"/>
    <w:rsid w:val="00E11EB2"/>
    <w:rsid w:val="00E2361B"/>
    <w:rsid w:val="00E83F76"/>
    <w:rsid w:val="00E9539A"/>
    <w:rsid w:val="00EF0783"/>
    <w:rsid w:val="00F0479F"/>
    <w:rsid w:val="00F04CF6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  <w:div w:id="206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9C57-DA76-4EFA-A470-BE147FD6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72</cp:revision>
  <cp:lastPrinted>2019-04-26T09:33:00Z</cp:lastPrinted>
  <dcterms:created xsi:type="dcterms:W3CDTF">2013-11-18T11:13:00Z</dcterms:created>
  <dcterms:modified xsi:type="dcterms:W3CDTF">2019-07-09T11:43:00Z</dcterms:modified>
</cp:coreProperties>
</file>